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572A6" w14:paraId="701E226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8804F3" w14:textId="77777777" w:rsidR="00A572A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832CE39" w14:textId="77777777" w:rsidR="00A572A6" w:rsidRDefault="00000000">
            <w:pPr>
              <w:spacing w:after="0" w:line="240" w:lineRule="auto"/>
            </w:pPr>
            <w:r>
              <w:t>22242</w:t>
            </w:r>
          </w:p>
        </w:tc>
      </w:tr>
      <w:tr w:rsidR="00A572A6" w14:paraId="4FE8DF0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1B482C" w14:textId="77777777" w:rsidR="00A572A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4ACB000" w14:textId="77777777" w:rsidR="00A572A6" w:rsidRDefault="00000000">
            <w:pPr>
              <w:spacing w:after="0" w:line="240" w:lineRule="auto"/>
            </w:pPr>
            <w:r>
              <w:t>GALERIJA KLOVIĆEVI DVORI ZAGREB</w:t>
            </w:r>
          </w:p>
        </w:tc>
      </w:tr>
      <w:tr w:rsidR="00A572A6" w14:paraId="58FACE2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3C18A2E" w14:textId="77777777" w:rsidR="00A572A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2DED0BE" w14:textId="77777777" w:rsidR="00A572A6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28C4ADA7" w14:textId="77777777" w:rsidR="00A572A6" w:rsidRDefault="00000000">
      <w:r>
        <w:br/>
      </w:r>
    </w:p>
    <w:p w14:paraId="1C46AB93" w14:textId="77777777" w:rsidR="00A572A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E30D9F4" w14:textId="77777777" w:rsidR="00A572A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3263E49" w14:textId="77777777" w:rsidR="00A572A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D30256D" w14:textId="77777777" w:rsidR="00A572A6" w:rsidRDefault="00A572A6"/>
    <w:p w14:paraId="7B189532" w14:textId="77777777" w:rsidR="00A572A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9208DC1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5BFB73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B2936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8DF7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108B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8D27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FD64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B7B7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47C47D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0FF84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75DAB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1467B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69C2F7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3.063.699,05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92EE3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2.564.366,91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873F0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83,7</w:t>
            </w:r>
          </w:p>
        </w:tc>
      </w:tr>
      <w:tr w:rsidR="00A572A6" w14:paraId="12ABC4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DE359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7B988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554F8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9A1A1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2.153.135,95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AA14A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2.589.758,70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A5AD7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  <w:tr w:rsidR="00A572A6" w14:paraId="2BECA8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D0BAE" w14:textId="77777777" w:rsidR="00A572A6" w:rsidRDefault="00A572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D5F51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950BF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B88DA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DE863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25.391,79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90BF6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572A6" w14:paraId="3F564E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17835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3D492C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CCE22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CF48C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E84FD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0A77E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572A6" w14:paraId="461A61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DD059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FED65A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20373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B3AEE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968.278,08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0825E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62.113,87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63C0C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6,4</w:t>
            </w:r>
          </w:p>
        </w:tc>
      </w:tr>
      <w:tr w:rsidR="00A572A6" w14:paraId="60C2D1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7FD2A" w14:textId="77777777" w:rsidR="00A572A6" w:rsidRDefault="00A572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583669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C213F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47C8D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968.278,08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B0111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62.113,87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4CCD4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6,4</w:t>
            </w:r>
          </w:p>
        </w:tc>
      </w:tr>
      <w:tr w:rsidR="00A572A6" w14:paraId="3098D6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FCEB1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09353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C564C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7AC75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FA7F2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AC589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572A6" w14:paraId="18E72C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5AC52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60BFED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F9D92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CC5E6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0FCEC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3A0A8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572A6" w14:paraId="551F2C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CE13D" w14:textId="77777777" w:rsidR="00A572A6" w:rsidRDefault="00A572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79E6FB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F14E8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1ED70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E9D68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96FB4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572A6" w14:paraId="4B42B6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76BCD" w14:textId="77777777" w:rsidR="00A572A6" w:rsidRDefault="00A572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F6673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A0E7D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A9A8A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57.714,98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784C2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87.505,66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D0482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151,6</w:t>
            </w:r>
          </w:p>
        </w:tc>
      </w:tr>
    </w:tbl>
    <w:p w14:paraId="596B0267" w14:textId="77777777" w:rsidR="00A572A6" w:rsidRDefault="00A572A6">
      <w:pPr>
        <w:spacing w:after="0"/>
      </w:pPr>
    </w:p>
    <w:p w14:paraId="79480AE6" w14:textId="77777777" w:rsidR="00A572A6" w:rsidRDefault="00000000">
      <w:r>
        <w:t>Na temelju ostvarenih 2.564.366,91 eura ukupnih prihoda  i 2.651.872,57 eura ukupnih rashoda, utvrđuje se manjak rezultata poslovanja u iznosu od 87.505,66 eura za razdoblje od siječanja do prosinca 2025.g. Veći dio manjka je zbog evidencije troška za trinaest plaća, a prihod je za dvanaest plaća.</w:t>
      </w:r>
    </w:p>
    <w:p w14:paraId="5BD6FF75" w14:textId="77777777" w:rsidR="00A572A6" w:rsidRDefault="00000000">
      <w:r>
        <w:br/>
      </w:r>
    </w:p>
    <w:p w14:paraId="6213068A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392094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ED09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45537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61990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F8972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8B5F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A104F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26CB9F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9BD89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18F840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89408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3B638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3.063.699,05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26ED6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2.564.366,91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3088B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83,7</w:t>
            </w:r>
          </w:p>
        </w:tc>
      </w:tr>
    </w:tbl>
    <w:p w14:paraId="6CB7A2E0" w14:textId="77777777" w:rsidR="00A572A6" w:rsidRDefault="00A572A6">
      <w:pPr>
        <w:spacing w:after="0"/>
      </w:pPr>
    </w:p>
    <w:p w14:paraId="5BF05ED7" w14:textId="77777777" w:rsidR="00A572A6" w:rsidRDefault="00000000">
      <w:r>
        <w:t>– Ukupan prihod poslovanja iznosi 2.564.366,91 eura.</w:t>
      </w:r>
    </w:p>
    <w:p w14:paraId="2F733480" w14:textId="77777777" w:rsidR="00A572A6" w:rsidRDefault="00A572A6"/>
    <w:p w14:paraId="71B1D688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258C1B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01CE9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1FA1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3862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EDC3D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3E7F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7372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5FE5D9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45821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85A1BD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A8887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49E14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1.454.644,11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122A3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746.668,74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A719F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51,3</w:t>
            </w:r>
          </w:p>
        </w:tc>
      </w:tr>
    </w:tbl>
    <w:p w14:paraId="0FDA8214" w14:textId="77777777" w:rsidR="00A572A6" w:rsidRDefault="00A572A6">
      <w:pPr>
        <w:spacing w:after="0"/>
      </w:pPr>
    </w:p>
    <w:p w14:paraId="4CBD0086" w14:textId="77777777" w:rsidR="00A572A6" w:rsidRDefault="00000000">
      <w:r>
        <w:t>Prihod iz Gradskog proračuna u iznosu od 746.668,74 eura odnosi se na: plaće zaposlenima u iznosu 505.414,65 eura, materijalne rashode 129.309,95 eura, naknade zaposlenima 17.294,14 eura, programska ulaganja/2025.g. 69.650,00 te na investicijsko održavanje iznos 25.000,00 eura.                </w:t>
      </w:r>
    </w:p>
    <w:p w14:paraId="09C9E48F" w14:textId="77777777" w:rsidR="00A572A6" w:rsidRDefault="00A572A6"/>
    <w:p w14:paraId="2151E731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448CE4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F00D7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0213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7A83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CAF9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88EC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9D27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4A698B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F427B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164824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A76C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C7BB4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769.255,74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26B14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2AB11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E2C1019" w14:textId="77777777" w:rsidR="00A572A6" w:rsidRDefault="00A572A6">
      <w:pPr>
        <w:spacing w:after="0"/>
      </w:pPr>
    </w:p>
    <w:p w14:paraId="0B7268DA" w14:textId="77777777" w:rsidR="00A572A6" w:rsidRDefault="00000000">
      <w:r>
        <w:t>Kapitalni prijenosi između proračunskih korisnika istog proračuna odnose se na dovršenje obnove zgrade nakon potresa u iznosu 769.255,74 eur, a budući da je obnova Galerije Klovićevi dvori u prošloj godini završena u ovoj godini nema prihoda.</w:t>
      </w:r>
    </w:p>
    <w:p w14:paraId="3F2D1789" w14:textId="77777777" w:rsidR="00A572A6" w:rsidRDefault="00A572A6"/>
    <w:p w14:paraId="3FECC048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385E66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9580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2140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624B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C06E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0C3C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35B32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2E823E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FE497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7132F8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D442F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DB516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8EA21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AC55C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83,1</w:t>
            </w:r>
          </w:p>
        </w:tc>
      </w:tr>
    </w:tbl>
    <w:p w14:paraId="559CEEC2" w14:textId="77777777" w:rsidR="00A572A6" w:rsidRDefault="00A572A6">
      <w:pPr>
        <w:spacing w:after="0"/>
      </w:pPr>
    </w:p>
    <w:p w14:paraId="008059B4" w14:textId="77777777" w:rsidR="00A572A6" w:rsidRDefault="00000000">
      <w:r>
        <w:t>Na ovoj stavci se evidentira prihod od zateznih kamata što za tekuću godinu iznosi 3,83 eur.</w:t>
      </w:r>
    </w:p>
    <w:p w14:paraId="56FDFDF8" w14:textId="77777777" w:rsidR="00A572A6" w:rsidRDefault="00A572A6"/>
    <w:p w14:paraId="6904FA0B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20B442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9735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A369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DB119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FEF49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BB03D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50380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07AA12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A217F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93CBCC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E0F9A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94D27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521.885,92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01B293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300.960,70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C9056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57,7</w:t>
            </w:r>
          </w:p>
        </w:tc>
      </w:tr>
    </w:tbl>
    <w:p w14:paraId="2290C71F" w14:textId="77777777" w:rsidR="00A572A6" w:rsidRDefault="00A572A6">
      <w:pPr>
        <w:spacing w:after="0"/>
      </w:pPr>
    </w:p>
    <w:p w14:paraId="2733B19A" w14:textId="77777777" w:rsidR="00A572A6" w:rsidRDefault="00000000">
      <w:r>
        <w:t>Prihodi od ulaznica iznose ukupno 300.960,70 eura što je manje za 42,3% u odnosu na prethodnu godinu. Ovaj promet od ulaznica ostvaren je od izložbi: U početku bijaše kraljevstvo, Zbirka Kviz, Ideal i stvarnost - zlatno doba mađarskog slikarstva, Sjaj u tami – nizozemsko slikarstvo, izložbe Mira Vuce, Zorana Šimunovića, ulaznica za Artionicu te ulaznica od vidikovca na kuli Lotrščak.</w:t>
      </w:r>
    </w:p>
    <w:p w14:paraId="05312369" w14:textId="77777777" w:rsidR="00A572A6" w:rsidRDefault="00A572A6"/>
    <w:p w14:paraId="49282B0A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514343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80BC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9AA4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5B0A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7724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7E5AF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346E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1725DA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12C7F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64B85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1926B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AC30D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100.485,89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99BB3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66.020,16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6CA90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65,7</w:t>
            </w:r>
          </w:p>
        </w:tc>
      </w:tr>
    </w:tbl>
    <w:p w14:paraId="22391F21" w14:textId="77777777" w:rsidR="00A572A6" w:rsidRDefault="00A572A6">
      <w:pPr>
        <w:spacing w:after="0"/>
      </w:pPr>
    </w:p>
    <w:p w14:paraId="046BE9D1" w14:textId="77777777" w:rsidR="00A572A6" w:rsidRDefault="00000000">
      <w:r>
        <w:t>Prihod od prodaje robe iznosi ukupno 66.020,16 eura i sastoji se od:  prihod od prodaje /bruto iznos /ostvarena razlika u cijeni 25,13%</w:t>
      </w:r>
    </w:p>
    <w:p w14:paraId="3AF5AC93" w14:textId="77777777" w:rsidR="00A572A6" w:rsidRDefault="00A572A6"/>
    <w:p w14:paraId="7DEA5F56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57E5DD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8619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41DA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2033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2C26D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9C132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54D5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5EC457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D5780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C2915C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F3152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3C16C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62.505,00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C033A3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53.451,77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9C12B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85,5</w:t>
            </w:r>
          </w:p>
        </w:tc>
      </w:tr>
    </w:tbl>
    <w:p w14:paraId="2D4A86AC" w14:textId="77777777" w:rsidR="00A572A6" w:rsidRDefault="00A572A6">
      <w:pPr>
        <w:spacing w:after="0"/>
      </w:pPr>
    </w:p>
    <w:p w14:paraId="1F1D4F00" w14:textId="77777777" w:rsidR="00A572A6" w:rsidRDefault="00000000">
      <w:r>
        <w:t>Prihod od zakupa i iznajmljivanja iznosi 53.451,77 eura i od tog iznosa 10.332,06 eura otpada na najam i režije od zgrade u Basaričekovoj. Iznos od 37.319,71 eura je najam naplaćen od Turističke zajednice, Hanger Medie, In vide, Media topa, Veleposlanstva Švicarske, Destina, Kulturno informativnog centra, i usluge transporta u iznosu 5.800,00eura.</w:t>
      </w:r>
    </w:p>
    <w:p w14:paraId="426C76A9" w14:textId="77777777" w:rsidR="00A572A6" w:rsidRDefault="00000000">
      <w:r>
        <w:t> </w:t>
      </w:r>
    </w:p>
    <w:p w14:paraId="56110C0F" w14:textId="77777777" w:rsidR="00A572A6" w:rsidRDefault="00A572A6"/>
    <w:p w14:paraId="67086D0B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281754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C37C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4C602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CDFB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04B87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E22CD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A0B7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07E14E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23A34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1FAD84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06583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533426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11.961,66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45C50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63FFC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242,4</w:t>
            </w:r>
          </w:p>
        </w:tc>
      </w:tr>
    </w:tbl>
    <w:p w14:paraId="69927D82" w14:textId="77777777" w:rsidR="00A572A6" w:rsidRDefault="00A572A6">
      <w:pPr>
        <w:spacing w:after="0"/>
      </w:pPr>
    </w:p>
    <w:p w14:paraId="33E5D895" w14:textId="77777777" w:rsidR="00A572A6" w:rsidRDefault="00000000">
      <w:r>
        <w:t>Donacije pravnih osoba za programske aktivnosti iznose 29.000,00 eura i odnose se na sponzoriranje izložbi: U početku bijaše kraljevstvo 22.000,00 eura (Orbico, HEP i Janaf su donirali po 5.000,00 eura, a Turistička zajednica grada Zagreba 7.000,00 eura). Turistička zajednica grada Zagreba je još donirala za izložbu Ivana Meštrovića iznos 4.000,00 eura i 3.000,00 eura za izložbu Nizozemsko slikarstvo 17.st.</w:t>
      </w:r>
    </w:p>
    <w:p w14:paraId="13B29A0F" w14:textId="77777777" w:rsidR="00A572A6" w:rsidRDefault="00A572A6"/>
    <w:p w14:paraId="45CCE154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153A15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D2FF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6693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ED27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E2D7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364F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5CBD9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2EC13A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4EF61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7054F4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7B9BB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D1167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905.627,67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1676B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1.367.784,87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96D42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151,0</w:t>
            </w:r>
          </w:p>
        </w:tc>
      </w:tr>
    </w:tbl>
    <w:p w14:paraId="45E812BE" w14:textId="77777777" w:rsidR="00A572A6" w:rsidRDefault="00A572A6">
      <w:pPr>
        <w:spacing w:after="0"/>
      </w:pPr>
    </w:p>
    <w:p w14:paraId="7323D584" w14:textId="77777777" w:rsidR="00A572A6" w:rsidRDefault="00000000">
      <w:r>
        <w:t>Prihod od Ministarstva kulture za financiranje rashoda poslovanja u iznosu od 1.367.784,86 eura:  za plaće zaposlenima 505.414,64 eura, za materijalne rashode 145.818,63 eura, za ostale naknade zaposlenima 17.294,13 eura, za programska ulaganja/2025. g. 511.200,00 eura, za informatizaciju i marketing 15.727,13, za investicije i inv.održavanje 172.330,33 eura.</w:t>
      </w:r>
    </w:p>
    <w:p w14:paraId="40C328A2" w14:textId="77777777" w:rsidR="00A572A6" w:rsidRDefault="00A572A6"/>
    <w:p w14:paraId="19FA961C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4FDF1E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D800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617F6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21CC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69AB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94C1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82B39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3700CA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175C0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5F1F18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8951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D589F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2.153.135,95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D927F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2.589.758,70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9D798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14:paraId="346BE3E7" w14:textId="77777777" w:rsidR="00A572A6" w:rsidRDefault="00A572A6">
      <w:pPr>
        <w:spacing w:after="0"/>
      </w:pPr>
    </w:p>
    <w:p w14:paraId="2A12F055" w14:textId="77777777" w:rsidR="00A572A6" w:rsidRDefault="00000000">
      <w:r>
        <w:t>Rashodi poslovanja iznose 2.589.758,70 eura i veći su za 20,3% od rashoda prethodne godine. Rashodi su veći na pozicijama vezanim za program a najvećim dijelom se odnose na izložbe: U početku bijaše kraljevstvo, Miro Vuco, Zoran Šimunović, te izložbe Zbirka Kviz i to na pozicijama materijal za postav izložbe, intelektualnim uslugama, premijama osiguranja, dizajnu i uređenju prostora, zakupninama (šator, klime) te službenih putovanja. Rashodi su manji na pozicijama koje se odnose na usluge tekućeg i investicijskog održavanja, računalnim uslugama, transportu umjetnina i rashodima za promidžbu. Veći su rashodi pristojba i naknada zbog rezervacije godišnjeg parkirališnog mjesta.</w:t>
      </w:r>
    </w:p>
    <w:p w14:paraId="339AB76F" w14:textId="77777777" w:rsidR="00A572A6" w:rsidRDefault="00A572A6"/>
    <w:p w14:paraId="517BECE6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6DFDDF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C09A6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AF3D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8F3A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7BC6F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4D0B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7762F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19F895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FAB89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148734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3A6F7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919BC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1.023.264,21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D307D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1.233.746,11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A1A88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14:paraId="708344F1" w14:textId="77777777" w:rsidR="00A572A6" w:rsidRDefault="00A572A6">
      <w:pPr>
        <w:spacing w:after="0"/>
      </w:pPr>
    </w:p>
    <w:p w14:paraId="76F8B953" w14:textId="77777777" w:rsidR="00A572A6" w:rsidRDefault="00000000">
      <w:r>
        <w:t>Na ovoj stavci evidentiraju se rashodi za zaposlene u iznosu od 1.233.746,11 eura, odnosno za 20,6% više od ostvarenja istog razdoblja prethodne godine. Prosječna bruto plaća na temelju prosječnog broja zaposlenih iznosi 2.608,21 eura, a neto plaća 1.662,89 eura po zaposleniku.</w:t>
      </w:r>
    </w:p>
    <w:p w14:paraId="3EEA9505" w14:textId="77777777" w:rsidR="00A572A6" w:rsidRDefault="00A572A6"/>
    <w:p w14:paraId="4863C200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08B887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6440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CAC12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1D4C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BBC0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8BF5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251C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5F1D10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8E045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007F4C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06459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666B9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54.205,53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FB07A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74.155,61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24063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136,8</w:t>
            </w:r>
          </w:p>
        </w:tc>
      </w:tr>
    </w:tbl>
    <w:p w14:paraId="79194A9A" w14:textId="77777777" w:rsidR="00A572A6" w:rsidRDefault="00A572A6">
      <w:pPr>
        <w:spacing w:after="0"/>
      </w:pPr>
    </w:p>
    <w:p w14:paraId="5A4FEB82" w14:textId="77777777" w:rsidR="00A572A6" w:rsidRDefault="00000000">
      <w:r>
        <w:t>Na ovoj stavci evidentiraju se ostali rashodi za zaposlene u iznosu od 74.155,61 eura. Ovi rashodi u tekućem razdoblju odnose se na isplaćene jubilarne nagrade, otpremnine, regres, dar djeci, božićnice te naknade i bonus za uspješan rad.</w:t>
      </w:r>
    </w:p>
    <w:p w14:paraId="470AB3EA" w14:textId="77777777" w:rsidR="00A572A6" w:rsidRDefault="00A572A6"/>
    <w:p w14:paraId="00A5021C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12044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EA770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A6787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2844F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A6B2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D36D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EC6F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19F26F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3BCB6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0B6E6D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8436A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ED7B4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1.123.570,88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5F5F4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1.349.280,46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93D52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14:paraId="0499F2CE" w14:textId="77777777" w:rsidR="00A572A6" w:rsidRDefault="00A572A6">
      <w:pPr>
        <w:spacing w:after="0"/>
      </w:pPr>
    </w:p>
    <w:p w14:paraId="2104701A" w14:textId="77777777" w:rsidR="00A572A6" w:rsidRDefault="00000000">
      <w:r>
        <w:t>Na ovoj stavci evidentiraju se ukupni materijalni rashodi koji iznose 1.349.280,46 eura što u odnosu na isto razdoblje prethodne godine iznosi povećanje od 20,1%.</w:t>
      </w:r>
    </w:p>
    <w:p w14:paraId="424D4FD1" w14:textId="77777777" w:rsidR="00A572A6" w:rsidRDefault="00A572A6"/>
    <w:p w14:paraId="2AFBCB83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622835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B181D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8DADD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1315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DD2E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FF5A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FE16F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64F2F1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A683D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9DD117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B2C89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83AB2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0779D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9774F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77,4</w:t>
            </w:r>
          </w:p>
        </w:tc>
      </w:tr>
    </w:tbl>
    <w:p w14:paraId="571A7541" w14:textId="77777777" w:rsidR="00A572A6" w:rsidRDefault="00A572A6">
      <w:pPr>
        <w:spacing w:after="0"/>
      </w:pPr>
    </w:p>
    <w:p w14:paraId="2D1123C5" w14:textId="77777777" w:rsidR="00A572A6" w:rsidRDefault="00000000">
      <w:r>
        <w:t>Na ovoj stavci bilježi se iznos ukupno obračunatih i nenaplaćenih prihoda u iznosu od 3.400,32 eura, čija se naplata očekuje u narednom razdoblju.</w:t>
      </w:r>
    </w:p>
    <w:p w14:paraId="0595F84A" w14:textId="77777777" w:rsidR="00A572A6" w:rsidRDefault="00A572A6"/>
    <w:p w14:paraId="6562D971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349DC1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CA47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EFA1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E3F4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E02E6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1FA4F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C90D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56D6C0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5EE58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956F06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116D7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611E5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968.278,08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94539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62.113,87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17D0B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6,4</w:t>
            </w:r>
          </w:p>
        </w:tc>
      </w:tr>
    </w:tbl>
    <w:p w14:paraId="07A790DE" w14:textId="77777777" w:rsidR="00A572A6" w:rsidRDefault="00A572A6">
      <w:pPr>
        <w:spacing w:after="0"/>
      </w:pPr>
    </w:p>
    <w:p w14:paraId="426D529D" w14:textId="77777777" w:rsidR="00A572A6" w:rsidRDefault="00000000">
      <w:r>
        <w:t>Na predmetnoj stavci evidentira se nabava opreme u iznosu od 62.113,87 eura. Razlika od prethodne godine je u investicijama za uređenje krova nakon potresa.</w:t>
      </w:r>
    </w:p>
    <w:p w14:paraId="77073330" w14:textId="77777777" w:rsidR="00A572A6" w:rsidRDefault="00A572A6"/>
    <w:p w14:paraId="6A43B6B0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68F61F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480B0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9B85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23B6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E793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C60A2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40F26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44BB8A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099D2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E9DE10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8DE4F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55604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59.525,58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19EB5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62.113,87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27BFE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69CB97C7" w14:textId="77777777" w:rsidR="00A572A6" w:rsidRDefault="00A572A6">
      <w:pPr>
        <w:spacing w:after="0"/>
      </w:pPr>
    </w:p>
    <w:p w14:paraId="428A966B" w14:textId="77777777" w:rsidR="00A572A6" w:rsidRDefault="00000000">
      <w:r>
        <w:t>Na ovoj stavci evidentira se rasvjeta, video nadzor i zavjese u Maloj galeriji, nabava računala zbog novih zakonskih propisa te klima za Kulu Lotrščak.</w:t>
      </w:r>
    </w:p>
    <w:p w14:paraId="59B95AA4" w14:textId="77777777" w:rsidR="00A572A6" w:rsidRDefault="00A572A6"/>
    <w:p w14:paraId="36D72244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3FBC48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A58A0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6EEB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1587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BD9F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4F766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3DFC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35B1FA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B2DF1" w14:textId="77777777" w:rsidR="00A572A6" w:rsidRDefault="00A572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E4E25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8A1E1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9716AB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57.714,98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D8779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87.505,66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2EF46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151,6</w:t>
            </w:r>
          </w:p>
        </w:tc>
      </w:tr>
    </w:tbl>
    <w:p w14:paraId="07DF9D62" w14:textId="77777777" w:rsidR="00A572A6" w:rsidRDefault="00A572A6">
      <w:pPr>
        <w:spacing w:after="0"/>
      </w:pPr>
    </w:p>
    <w:p w14:paraId="28A55DEB" w14:textId="77777777" w:rsidR="00A572A6" w:rsidRDefault="00000000">
      <w:r>
        <w:t>Na temelju ostvarenih 2.564.366,91 eura ukupnih prihoda  i 2.651.872,57 eura ukupnih rashoda, utvrđuje se manjak rezultata poslovanja u iznosu od 87.505,66 eura za razdoblje siječanj-prosinac ove godine. Ukupni višak prihoda i primitaka iznosi 673.424,64 eura i sastoji se od prenesenog viška prihoda iz prethodne godine koji iznosi 760.930,30 eur. Kada se od tog iznosa oduzme manjak prihoda i primitaka ostvaren u ovoj godini (87.505,66 eura) dobije se iznos od 673.424,64 eura za prijenos u 2026.g.</w:t>
      </w:r>
    </w:p>
    <w:p w14:paraId="6B10C561" w14:textId="77777777" w:rsidR="00A572A6" w:rsidRDefault="00A572A6"/>
    <w:p w14:paraId="7D70FF3D" w14:textId="77777777" w:rsidR="00A572A6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2FCC1AA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5885F3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E965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B2E27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642C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C46AD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01CC9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D1ED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781EFC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90E78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0CD1F6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F7EF7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6B734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14.970.631,45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F07E7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14.604.017,97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F03BC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97,6</w:t>
            </w:r>
          </w:p>
        </w:tc>
      </w:tr>
    </w:tbl>
    <w:p w14:paraId="57C851C6" w14:textId="77777777" w:rsidR="00A572A6" w:rsidRDefault="00A572A6">
      <w:pPr>
        <w:spacing w:after="0"/>
      </w:pPr>
    </w:p>
    <w:p w14:paraId="3AF5EC2D" w14:textId="77777777" w:rsidR="00A572A6" w:rsidRDefault="00000000">
      <w:r>
        <w:lastRenderedPageBreak/>
        <w:t>Na ovoj stavci bilježimo stanje imovine s  indeksom 97,6 u odnosu na prethodnu godinu. Razlog smanjenja je otpis zastarjelih računala zbog nabavke novih.</w:t>
      </w:r>
    </w:p>
    <w:p w14:paraId="07724C9F" w14:textId="77777777" w:rsidR="00A572A6" w:rsidRDefault="00A572A6"/>
    <w:p w14:paraId="46F2342C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0C038D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84F9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2BC0F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5619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EBFE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4715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CAC1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6B5A58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64418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F44E7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3393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7EBDE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25.627.877,32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096AA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25.627.877,32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0CAA0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03F99B40" w14:textId="77777777" w:rsidR="00A572A6" w:rsidRDefault="00A572A6">
      <w:pPr>
        <w:spacing w:after="0"/>
      </w:pPr>
    </w:p>
    <w:p w14:paraId="19C598AE" w14:textId="77777777" w:rsidR="00A572A6" w:rsidRDefault="00000000">
      <w:r>
        <w:t>Na ovoj stavci su građevinski objekti.</w:t>
      </w:r>
    </w:p>
    <w:p w14:paraId="4C7F080D" w14:textId="77777777" w:rsidR="00A572A6" w:rsidRDefault="00A572A6"/>
    <w:p w14:paraId="4064C772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77FA7D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4296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4DE62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43596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8891F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124A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72170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409CD0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80AB0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AEF1C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F4CF1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7A2FA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148.989,23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41A2D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148.989,23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D0385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AFC2C4A" w14:textId="77777777" w:rsidR="00A572A6" w:rsidRDefault="00A572A6">
      <w:pPr>
        <w:spacing w:after="0"/>
      </w:pPr>
    </w:p>
    <w:p w14:paraId="173C0C7F" w14:textId="77777777" w:rsidR="00A572A6" w:rsidRDefault="00000000">
      <w:r>
        <w:t>Na ovim stavkama bilježimo stanje prijevoznih sredstava. Galerija Klovićevi dvori  u osnovnim sredstvima ima kamion, kombi i službeni automobil.</w:t>
      </w:r>
    </w:p>
    <w:p w14:paraId="75B8100B" w14:textId="77777777" w:rsidR="00A572A6" w:rsidRDefault="00A572A6"/>
    <w:p w14:paraId="314C60C5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650D7C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9394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6950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13280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B081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1CE3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103D9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1E4B6E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EEC9C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480C52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D4BA1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B2EEA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507.080,61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38F29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508.007,04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81506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100,2</w:t>
            </w:r>
          </w:p>
        </w:tc>
      </w:tr>
    </w:tbl>
    <w:p w14:paraId="4EC9F7FC" w14:textId="77777777" w:rsidR="00A572A6" w:rsidRDefault="00A572A6">
      <w:pPr>
        <w:spacing w:after="0"/>
      </w:pPr>
    </w:p>
    <w:p w14:paraId="353B63C7" w14:textId="77777777" w:rsidR="00A572A6" w:rsidRDefault="00000000">
      <w:r>
        <w:t>Stanje je slično kao i u prethodnom razdoblju sa indeksom od 100,2 odnosi se na stanje financijske imovine tj. novca na računu tuzemne banke i to u iznosu od 508.007,04 eura. </w:t>
      </w:r>
    </w:p>
    <w:p w14:paraId="426F8BFB" w14:textId="77777777" w:rsidR="00A572A6" w:rsidRDefault="00A572A6"/>
    <w:p w14:paraId="4C59E8FC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497797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BEC5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72C9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7366F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0318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966A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407B0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34F110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9C636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35B846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B00D1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B0BEC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14.539,14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526D8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17.141,85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FD23C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14:paraId="1F0970E5" w14:textId="77777777" w:rsidR="00A572A6" w:rsidRDefault="00A572A6">
      <w:pPr>
        <w:spacing w:after="0"/>
      </w:pPr>
    </w:p>
    <w:p w14:paraId="483CCE84" w14:textId="77777777" w:rsidR="00A572A6" w:rsidRDefault="00000000">
      <w:r>
        <w:t>Potraživanje za prihode poslovanja su povećana sa indeksom 117,9. Radi se o</w:t>
      </w:r>
    </w:p>
    <w:p w14:paraId="5FCB892D" w14:textId="77777777" w:rsidR="00A572A6" w:rsidRDefault="00000000">
      <w:r>
        <w:lastRenderedPageBreak/>
        <w:t>tekućim potraživanjima za najmove i režije iz prosinca 2025.g. u iznosu 17.141,85 eura koja će biti naplaćena u zakonskom roku.</w:t>
      </w:r>
    </w:p>
    <w:p w14:paraId="1E5A5A6B" w14:textId="77777777" w:rsidR="00A572A6" w:rsidRDefault="00A572A6"/>
    <w:p w14:paraId="0B4B70E6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73C2A9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6D99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6F60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9923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BCEE7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D5C37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7A43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2451C1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0A766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82A055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DEA7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9C94D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18.110,76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C6D9C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18.110,76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5BD08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6F683E87" w14:textId="77777777" w:rsidR="00A572A6" w:rsidRDefault="00A572A6">
      <w:pPr>
        <w:spacing w:after="0"/>
      </w:pPr>
    </w:p>
    <w:p w14:paraId="0D33B855" w14:textId="77777777" w:rsidR="00A572A6" w:rsidRDefault="00000000">
      <w:r>
        <w:t>Smanjenje potraživanja se odnosi na ispravku vrijednosti potraživanja u iznosu 18.110,76 eura i odnosi se na potraživanja od lokala Gradec. Ta potraživanja su sporna i naplata istih vodi se sudskim putem.</w:t>
      </w:r>
    </w:p>
    <w:p w14:paraId="14334EF4" w14:textId="77777777" w:rsidR="00A572A6" w:rsidRDefault="00A572A6"/>
    <w:p w14:paraId="0F68915A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73EA0B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CF1B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14F3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90676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9C50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816B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CA31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712447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5FAF1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08F1DA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30D3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FBD37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97.764,60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AE1F0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AA7CD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0,9</w:t>
            </w:r>
          </w:p>
        </w:tc>
      </w:tr>
    </w:tbl>
    <w:p w14:paraId="17E085C3" w14:textId="77777777" w:rsidR="00A572A6" w:rsidRDefault="00A572A6">
      <w:pPr>
        <w:spacing w:after="0"/>
      </w:pPr>
    </w:p>
    <w:p w14:paraId="1B783F91" w14:textId="77777777" w:rsidR="00A572A6" w:rsidRDefault="00000000">
      <w:r>
        <w:t>Na ovoj stavci evidentiran je iznos koji je plaćen za prijevoz djelatnika (ZET).</w:t>
      </w:r>
    </w:p>
    <w:p w14:paraId="6F2B5A37" w14:textId="77777777" w:rsidR="00A572A6" w:rsidRDefault="00A572A6"/>
    <w:p w14:paraId="6D30E730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1BB456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21C5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611D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755F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913E2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C9F5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8B49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0CA835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92F78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4EFD0B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E3896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D7EB3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760.930,30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2794F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673.424,64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4B532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</w:t>
            </w:r>
          </w:p>
        </w:tc>
      </w:tr>
    </w:tbl>
    <w:p w14:paraId="2C23DB60" w14:textId="77777777" w:rsidR="00A572A6" w:rsidRDefault="00A572A6">
      <w:pPr>
        <w:spacing w:after="0"/>
      </w:pPr>
    </w:p>
    <w:p w14:paraId="76A3C1AC" w14:textId="77777777" w:rsidR="00A572A6" w:rsidRDefault="00000000">
      <w:r>
        <w:t>Prikazan je višak rashoda poslovanja u iznosu od 673.424,64 eura. Ovaj višak prihoda sastoji se od prenesenog viška iz 2024. g. u iznosu 760.930,30 eura i manjka u tekućoj godini u iznosu 87.505,66 eur.</w:t>
      </w:r>
    </w:p>
    <w:p w14:paraId="0349CE7C" w14:textId="77777777" w:rsidR="00A572A6" w:rsidRDefault="00A572A6"/>
    <w:p w14:paraId="41832D35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33BFA9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A330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39BA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7644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E04D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D06F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147E2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0A3B96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A6690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9D988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224D3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B970F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5.912.492,71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EDD37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7.873.561,76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93463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133,2</w:t>
            </w:r>
          </w:p>
        </w:tc>
      </w:tr>
    </w:tbl>
    <w:p w14:paraId="2B0F5298" w14:textId="77777777" w:rsidR="00A572A6" w:rsidRDefault="00A572A6">
      <w:pPr>
        <w:spacing w:after="0"/>
      </w:pPr>
    </w:p>
    <w:p w14:paraId="05E06777" w14:textId="77777777" w:rsidR="00A572A6" w:rsidRDefault="00000000">
      <w:r>
        <w:lastRenderedPageBreak/>
        <w:t>U izvanbilančnim zapisima vode se procjenjene Zbirke Herman, Perčić, Crnobori, Kopač, Restek, Zbirka darovanih umjetnina i Zbirka Kviz od ove godine. U izvanbilančnim zapisima evidentiramo još i promete primljene i prodane komisijske robe, te neugovorena potraživanja za lokal Jako dobro na Gradecu za koje se vodio postupak kod Općinskog državnog odvjetništva u Zagrebu.</w:t>
      </w:r>
    </w:p>
    <w:p w14:paraId="0CEDF655" w14:textId="77777777" w:rsidR="00A572A6" w:rsidRDefault="00A572A6"/>
    <w:p w14:paraId="200FD3E7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4EF22C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1012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65D3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38A62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0A54D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22A53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EAA8F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1F12A9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8A0A4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57840D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1C3B5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DE08D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C6D58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BA702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404,6</w:t>
            </w:r>
          </w:p>
        </w:tc>
      </w:tr>
    </w:tbl>
    <w:p w14:paraId="2A025E48" w14:textId="77777777" w:rsidR="00A572A6" w:rsidRDefault="00A572A6">
      <w:pPr>
        <w:spacing w:after="0"/>
      </w:pPr>
    </w:p>
    <w:p w14:paraId="37E7AD00" w14:textId="77777777" w:rsidR="00A572A6" w:rsidRDefault="00000000">
      <w:r>
        <w:t>Na ovoj stavci je iznos za potraživanje za bolovanje od HZZO-a koji će stići na račun u 2026.g.</w:t>
      </w:r>
    </w:p>
    <w:p w14:paraId="4DE49F5B" w14:textId="77777777" w:rsidR="00A572A6" w:rsidRDefault="00A572A6"/>
    <w:p w14:paraId="56C25567" w14:textId="77777777" w:rsidR="00A572A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853271B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4BD344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03D1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41549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17660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7073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D51C6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715F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4E914A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8E309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2A8AA4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57C29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925C8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3.121.414,03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B5148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2.651.872,57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A1917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85,0</w:t>
            </w:r>
          </w:p>
        </w:tc>
      </w:tr>
    </w:tbl>
    <w:p w14:paraId="36E0B427" w14:textId="77777777" w:rsidR="00A572A6" w:rsidRDefault="00A572A6">
      <w:pPr>
        <w:spacing w:after="0"/>
      </w:pPr>
    </w:p>
    <w:p w14:paraId="656C085E" w14:textId="77777777" w:rsidR="00A572A6" w:rsidRDefault="00000000">
      <w:r>
        <w:t>U izvještajnom razdoblju rashodi prema funkcijskoj klasifikaciji iznose ukupno 2.651.872,57 eura.</w:t>
      </w:r>
    </w:p>
    <w:p w14:paraId="7C89F3EF" w14:textId="77777777" w:rsidR="00A572A6" w:rsidRDefault="00A572A6"/>
    <w:p w14:paraId="53600658" w14:textId="77777777" w:rsidR="00A572A6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5E034D0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572A6" w14:paraId="68E11E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6D70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4A5C7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8828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480F0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32F7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08528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3CAC97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66632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B5D89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034A5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0A303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0A9AB4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DEBD1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42BCA2" w14:textId="77777777" w:rsidR="00A572A6" w:rsidRDefault="00A572A6">
      <w:pPr>
        <w:spacing w:after="0"/>
      </w:pPr>
    </w:p>
    <w:p w14:paraId="4F4B59F5" w14:textId="77777777" w:rsidR="00A572A6" w:rsidRDefault="00000000">
      <w:r>
        <w:t>Nema promjene u vrijednosti i obujmu imovine.</w:t>
      </w:r>
    </w:p>
    <w:p w14:paraId="18C6F44F" w14:textId="77777777" w:rsidR="00A572A6" w:rsidRDefault="00A572A6"/>
    <w:p w14:paraId="2397282F" w14:textId="77777777" w:rsidR="00A572A6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78ED505D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572A6" w14:paraId="49D1A7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0EFF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23A55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4AEC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2420A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C5E7C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109F29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DF98D" w14:textId="77777777" w:rsidR="00A572A6" w:rsidRDefault="00A572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FB468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E6F22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A3203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138.766,05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D5B95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01A9A6" w14:textId="77777777" w:rsidR="00A572A6" w:rsidRDefault="00A572A6">
      <w:pPr>
        <w:spacing w:after="0"/>
      </w:pPr>
    </w:p>
    <w:p w14:paraId="6BD6243D" w14:textId="77777777" w:rsidR="00A572A6" w:rsidRDefault="00000000">
      <w:r>
        <w:t>Stanje obveza 1. siječnja 2025. iznosi 138.766,05 eura i odnosi se na obveze iz 2024.godini plaćene u 2025.godini.</w:t>
      </w:r>
    </w:p>
    <w:p w14:paraId="11391753" w14:textId="77777777" w:rsidR="00A572A6" w:rsidRDefault="00A572A6"/>
    <w:p w14:paraId="564072A3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572A6" w14:paraId="0FC466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ACCD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1A7C7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E5C4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7E791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B673D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7AA484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E1AF0" w14:textId="77777777" w:rsidR="00A572A6" w:rsidRDefault="00A572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7C577B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4F1E9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14485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E8A18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6E7FF2" w14:textId="77777777" w:rsidR="00A572A6" w:rsidRDefault="00A572A6">
      <w:pPr>
        <w:spacing w:after="0"/>
      </w:pPr>
    </w:p>
    <w:p w14:paraId="6E2F2E2B" w14:textId="77777777" w:rsidR="00A572A6" w:rsidRDefault="00000000">
      <w:r>
        <w:t>Nema dospjelih obveza na kraju izvještajnog razdoblja</w:t>
      </w:r>
    </w:p>
    <w:p w14:paraId="230B1DDC" w14:textId="77777777" w:rsidR="00A572A6" w:rsidRDefault="00A572A6"/>
    <w:p w14:paraId="7C854CAC" w14:textId="77777777" w:rsidR="00A572A6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572A6" w14:paraId="63EDC6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B54D4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203B0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43307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6874E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1AD9B" w14:textId="77777777" w:rsidR="00A572A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72A6" w14:paraId="64B215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59E6F" w14:textId="77777777" w:rsidR="00A572A6" w:rsidRDefault="00A572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CBD978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2C5EE" w14:textId="77777777" w:rsidR="00A572A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5026B0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142.617,15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8DEA4" w14:textId="77777777" w:rsidR="00A572A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019427" w14:textId="77777777" w:rsidR="00A572A6" w:rsidRDefault="00A572A6">
      <w:pPr>
        <w:spacing w:after="0"/>
      </w:pPr>
    </w:p>
    <w:p w14:paraId="1A9D5378" w14:textId="77777777" w:rsidR="00A572A6" w:rsidRDefault="00000000">
      <w:r>
        <w:t>Stanje obveza na kraju izvještajnog razdoblja iznosi 142.617,15 eura i odnosi se na obvezu za plaće i materijalna prava radnika u prosincu u iznosu 90.902,03 eura, obveze za materijalne rashode u iznosu 48.781,96 eura, obveze za jamčevine 1.250,00 te obveze za PDV po obračunu u iznosu 1.683,16 eura.</w:t>
      </w:r>
    </w:p>
    <w:p w14:paraId="2097D805" w14:textId="77777777" w:rsidR="00A572A6" w:rsidRDefault="00A572A6"/>
    <w:sectPr w:rsidR="00A57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A6"/>
    <w:rsid w:val="0066622B"/>
    <w:rsid w:val="00A572A6"/>
    <w:rsid w:val="00C8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10DB"/>
  <w15:docId w15:val="{E5E36E14-36B4-41F9-B908-6B870BCC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2332</Words>
  <Characters>13296</Characters>
  <Application>Microsoft Office Word</Application>
  <DocSecurity>0</DocSecurity>
  <Lines>110</Lines>
  <Paragraphs>31</Paragraphs>
  <ScaleCrop>false</ScaleCrop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Leko</dc:creator>
  <cp:lastModifiedBy>Lidija Leko</cp:lastModifiedBy>
  <cp:revision>2</cp:revision>
  <dcterms:created xsi:type="dcterms:W3CDTF">2026-01-29T13:07:00Z</dcterms:created>
  <dcterms:modified xsi:type="dcterms:W3CDTF">2026-01-29T13:07:00Z</dcterms:modified>
</cp:coreProperties>
</file>